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rPr>
          <w:b/>
          <w:bCs/>
          <w:u w:val="single"/>
        </w:rPr>
        <w:t>AGREEMENT FOR USE OF FIRE HYDRANT METERS</w:t>
      </w:r>
    </w:p>
    <w:p>
      <w:r>
        <w:t xml:space="preserve">In consideration of the mutual agreements herein contained, the parties agree to the following: </w:t>
      </w:r>
    </w:p>
    <w:p>
      <w:pPr>
        <w:pStyle w:val="13"/>
        <w:numPr>
          <w:ilvl w:val="0"/>
          <w:numId w:val="1"/>
        </w:numPr>
      </w:pPr>
      <w:r>
        <w:t xml:space="preserve">A deposit of </w:t>
      </w:r>
      <w:r>
        <w:rPr>
          <w:b/>
          <w:bCs/>
        </w:rPr>
        <w:t>One Thousand Dollars, ($1,000.00</w:t>
      </w:r>
      <w:r>
        <w:t xml:space="preserve">) is required for each flush meter obtained. The deposit will be applied to the account when the meter is turned in. The remaining balance of the deposit will be refunded to the User. </w:t>
      </w:r>
    </w:p>
    <w:p>
      <w:pPr>
        <w:pStyle w:val="13"/>
        <w:numPr>
          <w:ilvl w:val="0"/>
          <w:numId w:val="1"/>
        </w:numPr>
      </w:pPr>
      <w:r>
        <w:t>In the case of an emergency, the Fire Department can seize the use of the hydrant by the User immediately.</w:t>
      </w:r>
    </w:p>
    <w:p>
      <w:pPr>
        <w:pStyle w:val="13"/>
        <w:numPr>
          <w:ilvl w:val="0"/>
          <w:numId w:val="1"/>
        </w:numPr>
      </w:pPr>
      <w:r>
        <w:rPr>
          <w:rFonts w:eastAsia="Times New Roman" w:cstheme="minorHAnsi"/>
          <w:color w:val="313335"/>
          <w:kern w:val="0"/>
          <w14:ligatures w14:val="none"/>
        </w:rPr>
        <w:t>Sec. 18-33. - Not to connect hose with fire hydrants</w:t>
      </w:r>
    </w:p>
    <w:p>
      <w:r>
        <w:rPr>
          <w:rFonts w:eastAsia="Times New Roman" w:cstheme="minorHAnsi"/>
          <w:color w:val="313335"/>
          <w:spacing w:val="2"/>
          <w:kern w:val="0"/>
          <w14:ligatures w14:val="none"/>
        </w:rPr>
        <w:t>It is unlawful and an offense for any person to use, molest or connect any hose or any apparatus with any of the fire hydrants or plugs within the city without first securing permission in writing from the chief of the fire department or utility superintendent as authorized by the fire chief. (Prior Code, § 13-3.8; Code 1983, § 13-215)</w:t>
      </w:r>
    </w:p>
    <w:p>
      <w:pPr>
        <w:pStyle w:val="13"/>
        <w:numPr>
          <w:ilvl w:val="0"/>
          <w:numId w:val="1"/>
        </w:numPr>
      </w:pPr>
      <w:r>
        <w:t xml:space="preserve">All water consumption is charged on a rate scale that is listed below. Prorated charges may apply to the first and final bill. </w:t>
      </w:r>
    </w:p>
    <w:tbl>
      <w:tblPr>
        <w:tblStyle w:val="10"/>
        <w:tblW w:w="0" w:type="auto"/>
        <w:tblInd w:w="2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8"/>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8" w:type="dxa"/>
          </w:tcPr>
          <w:p>
            <w:pPr>
              <w:pStyle w:val="13"/>
              <w:spacing w:after="0" w:line="240" w:lineRule="auto"/>
            </w:pPr>
            <w:r>
              <w:t>0-1,000</w:t>
            </w:r>
          </w:p>
        </w:tc>
        <w:tc>
          <w:tcPr>
            <w:tcW w:w="2821" w:type="dxa"/>
          </w:tcPr>
          <w:p>
            <w:pPr>
              <w:pStyle w:val="13"/>
              <w:spacing w:after="0" w:line="240" w:lineRule="auto"/>
            </w:pPr>
            <w:r>
              <w:t>$44.88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8" w:type="dxa"/>
          </w:tcPr>
          <w:p>
            <w:pPr>
              <w:pStyle w:val="13"/>
              <w:spacing w:after="0" w:line="240" w:lineRule="auto"/>
            </w:pPr>
            <w:r>
              <w:t>1,001-10,000</w:t>
            </w:r>
          </w:p>
        </w:tc>
        <w:tc>
          <w:tcPr>
            <w:tcW w:w="2821" w:type="dxa"/>
          </w:tcPr>
          <w:p>
            <w:pPr>
              <w:pStyle w:val="13"/>
              <w:spacing w:after="0" w:line="240" w:lineRule="auto"/>
            </w:pPr>
            <w:r>
              <w:t>$0.0044 per gallon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8" w:type="dxa"/>
          </w:tcPr>
          <w:p>
            <w:pPr>
              <w:pStyle w:val="13"/>
              <w:spacing w:after="0" w:line="240" w:lineRule="auto"/>
            </w:pPr>
            <w:r>
              <w:t>10,001-20,000</w:t>
            </w:r>
          </w:p>
        </w:tc>
        <w:tc>
          <w:tcPr>
            <w:tcW w:w="2821" w:type="dxa"/>
          </w:tcPr>
          <w:p>
            <w:pPr>
              <w:pStyle w:val="13"/>
              <w:spacing w:after="0" w:line="240" w:lineRule="auto"/>
            </w:pPr>
            <w:r>
              <w:t>$0.0048 per gallon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8" w:type="dxa"/>
          </w:tcPr>
          <w:p>
            <w:pPr>
              <w:pStyle w:val="13"/>
              <w:spacing w:after="0" w:line="240" w:lineRule="auto"/>
            </w:pPr>
            <w:r>
              <w:t>20,001-1mil</w:t>
            </w:r>
          </w:p>
        </w:tc>
        <w:tc>
          <w:tcPr>
            <w:tcW w:w="2821" w:type="dxa"/>
          </w:tcPr>
          <w:p>
            <w:pPr>
              <w:pStyle w:val="13"/>
              <w:spacing w:after="0" w:line="240" w:lineRule="auto"/>
            </w:pPr>
            <w:r>
              <w:t>$0.00503 per gallon</w:t>
            </w:r>
          </w:p>
        </w:tc>
      </w:tr>
    </w:tbl>
    <w:p>
      <w:pPr>
        <w:pStyle w:val="13"/>
        <w:numPr>
          <w:ilvl w:val="0"/>
          <w:numId w:val="1"/>
        </w:numPr>
        <w:spacing w:before="240"/>
        <w:rPr>
          <w:b/>
          <w:bCs/>
        </w:rPr>
      </w:pPr>
      <w:r>
        <w:t>Flush meter readings are required to be submitted no later than the 15</w:t>
      </w:r>
      <w:r>
        <w:rPr>
          <w:vertAlign w:val="superscript"/>
        </w:rPr>
        <w:t>th</w:t>
      </w:r>
      <w:r>
        <w:t xml:space="preserve"> of the month (Mon-Fri 8am-5pm). Failure to comply with this requirement will result in a non-refundable penalty of </w:t>
      </w:r>
      <w:r>
        <w:rPr>
          <w:b/>
          <w:bCs/>
        </w:rPr>
        <w:t>$50 per missed reading.</w:t>
      </w:r>
    </w:p>
    <w:p>
      <w:pPr>
        <w:pStyle w:val="13"/>
        <w:numPr>
          <w:ilvl w:val="0"/>
          <w:numId w:val="1"/>
        </w:numPr>
      </w:pPr>
      <w:r>
        <w:t>A minimum of once every three (3) months, the User is required to bring the flush meter into Public Works at 3550 McCoy Drive Spencer, OK to obtain an actual meter reading, and to examine the condition of the meter. Please call (405) 771-3226 (option 3) to arrange a time.</w:t>
      </w:r>
    </w:p>
    <w:p>
      <w:pPr>
        <w:pStyle w:val="13"/>
        <w:numPr>
          <w:ilvl w:val="0"/>
          <w:numId w:val="1"/>
        </w:numPr>
      </w:pPr>
      <w:r>
        <w:t xml:space="preserve">If the user fails to submit a monthly meter reading for a period of three (3) months or fails to bring the flush meter in for inspection, the $1,000.00 security deposit will be forfeited. The utility account will be closed once the flush meter is returned. The User will continue to owe the </w:t>
      </w:r>
      <w:r>
        <w:rPr>
          <w:b/>
          <w:bCs/>
        </w:rPr>
        <w:t>minimum monthly bill fee of $100.00 plus the non-reading fee of $50.00 per month</w:t>
      </w:r>
      <w:r>
        <w:t xml:space="preserve"> until the account is closed. The contract will be voided due to non-compliance and Spencer City Hall will notify the Public Works Department to confiscate the flush meter.</w:t>
      </w:r>
    </w:p>
    <w:p>
      <w:pPr>
        <w:pStyle w:val="13"/>
        <w:numPr>
          <w:ilvl w:val="0"/>
          <w:numId w:val="1"/>
        </w:numPr>
      </w:pPr>
      <w:r>
        <w:t>Should Public Works confiscate the meter, the User will be responsible for all usage registered on the meter. If the flush meter can be returned to inventory the User will be returned the $1,000.00 deposit. If the flush meter has any damage, the repair cost will be deducted from the deposit and the remainder, if any, will be returned to the User.</w:t>
      </w:r>
    </w:p>
    <w:p>
      <w:pPr>
        <w:pStyle w:val="13"/>
        <w:numPr>
          <w:ilvl w:val="0"/>
          <w:numId w:val="1"/>
        </w:numPr>
      </w:pPr>
      <w:r>
        <w:t xml:space="preserve">The operating nut on the hydrant can be easily damaged. Pipe wrenches or other similar wrenches cannot be used. Only adjustable hydrant wrenches specifically designed for the use on all sized pentagon and square hydrant nuts will be used. A flush meter wrench may be included upon request, and </w:t>
      </w:r>
    </w:p>
    <w:p>
      <w:pPr>
        <w:pStyle w:val="13"/>
      </w:pPr>
    </w:p>
    <w:p>
      <w:pPr>
        <w:pStyle w:val="13"/>
      </w:pPr>
    </w:p>
    <w:p>
      <w:pPr>
        <w:ind w:left="720"/>
      </w:pPr>
    </w:p>
    <w:p>
      <w:pPr>
        <w:spacing w:after="0"/>
        <w:ind w:left="720"/>
      </w:pPr>
    </w:p>
    <w:p>
      <w:pPr>
        <w:spacing w:after="0"/>
        <w:ind w:left="720"/>
      </w:pPr>
      <w:r>
        <w:t xml:space="preserve">depending on availability. If the wrench is not returned with the meter, the customer will be charged </w:t>
      </w:r>
      <w:r>
        <w:rPr>
          <w:b/>
          <w:bCs/>
        </w:rPr>
        <w:t>$40</w:t>
      </w:r>
      <w:r>
        <w:t xml:space="preserve"> to cover the replacement cost.</w:t>
      </w:r>
    </w:p>
    <w:p>
      <w:pPr>
        <w:pStyle w:val="13"/>
        <w:numPr>
          <w:ilvl w:val="0"/>
          <w:numId w:val="1"/>
        </w:numPr>
      </w:pPr>
      <w:r>
        <w:t>A notarized statement on company letterhead verifying that the person signing for the meter as an authorized agent acting on behalf of the company is required before issuance of the flush meter.</w:t>
      </w:r>
    </w:p>
    <w:p>
      <w:pPr>
        <w:pStyle w:val="13"/>
        <w:numPr>
          <w:ilvl w:val="0"/>
          <w:numId w:val="1"/>
        </w:numPr>
      </w:pPr>
      <w:r>
        <w:t>Fire hydrants will not be used to regulate water flow. For this purpose, the User will install a gate valve to protect the meter from excessive pressure from the fire hydrant and to enable the User to regulate the water flow without opening and closing the fire hydrant.</w:t>
      </w:r>
    </w:p>
    <w:p>
      <w:pPr>
        <w:pStyle w:val="13"/>
        <w:numPr>
          <w:ilvl w:val="0"/>
          <w:numId w:val="1"/>
        </w:numPr>
      </w:pPr>
      <w:r>
        <w:t xml:space="preserve">After the fire hydrant meter is removed, the User will ensure that the hydrant is turned completely off, and the cap is secured on the hose nozzle of the fire hydrant. </w:t>
      </w:r>
    </w:p>
    <w:p>
      <w:pPr>
        <w:pStyle w:val="13"/>
        <w:numPr>
          <w:ilvl w:val="0"/>
          <w:numId w:val="1"/>
        </w:numPr>
      </w:pPr>
      <w:r>
        <w:t>To prevent any contamination of the City potable water supply, adequate back-flow prevention must be taken by the User.</w:t>
      </w:r>
    </w:p>
    <w:p>
      <w:pPr>
        <w:pStyle w:val="13"/>
        <w:numPr>
          <w:ilvl w:val="0"/>
          <w:numId w:val="1"/>
        </w:numPr>
      </w:pPr>
      <w:r>
        <w:t>A minimum air gap separation of two feet (2’) will be maintained at all times between the flow of water and the source of possible contamination. The use of a standpipe is the best method to ensure that the two-foot air gap is maintained.</w:t>
      </w:r>
    </w:p>
    <w:p>
      <w:pPr>
        <w:pStyle w:val="13"/>
        <w:numPr>
          <w:ilvl w:val="0"/>
          <w:numId w:val="1"/>
        </w:numPr>
      </w:pPr>
      <w:r>
        <w:t>A direct connection of any type between the fire hydrant and the source of possible contamination is strictly prohibited without the use of a double check valve assembly or a reduced pressure back-flow prevention device.</w:t>
      </w:r>
    </w:p>
    <w:p>
      <w:pPr>
        <w:pStyle w:val="13"/>
        <w:numPr>
          <w:ilvl w:val="0"/>
          <w:numId w:val="1"/>
        </w:numPr>
      </w:pPr>
      <w:r>
        <w:t>Any damage caused by the User will be the sole responsibility of the User and the User shall hold the City harmless there from.</w:t>
      </w:r>
    </w:p>
    <w:p>
      <w:pPr>
        <w:pStyle w:val="13"/>
        <w:numPr>
          <w:ilvl w:val="0"/>
          <w:numId w:val="1"/>
        </w:numPr>
      </w:pPr>
      <w:r>
        <w:t>The bill for the flush meter use and the water consumption is due by the due date stated on the utility bill.</w:t>
      </w:r>
    </w:p>
    <w:p>
      <w:pPr>
        <w:pStyle w:val="13"/>
        <w:numPr>
          <w:ilvl w:val="0"/>
          <w:numId w:val="1"/>
        </w:numPr>
      </w:pPr>
      <w:r>
        <w:t>The flush meter must be available for inspection by the City upon demand at the location on which the meter is being used.</w:t>
      </w:r>
    </w:p>
    <w:p>
      <w:pPr>
        <w:pStyle w:val="13"/>
        <w:numPr>
          <w:ilvl w:val="0"/>
          <w:numId w:val="1"/>
        </w:numPr>
      </w:pPr>
      <w:r>
        <w:t>If the meter is lost or stolen, a report must be filed immediately with the Police Department in the jurisdiction in which the incident occurred. A copy of the police report must be furnished to the City of Spencer Utility Billing Clerk within ten (10) days of such loss. The user is responsible and liable for the replacement cost of the meter.</w:t>
      </w:r>
    </w:p>
    <w:p>
      <w:pPr>
        <w:pStyle w:val="13"/>
        <w:numPr>
          <w:ilvl w:val="0"/>
          <w:numId w:val="1"/>
        </w:numPr>
      </w:pPr>
      <w:r>
        <w:t>User shall return to the City the fire hydrant meter upon demand of the City at any time.</w:t>
      </w:r>
    </w:p>
    <w:p>
      <w:pPr>
        <w:pStyle w:val="13"/>
        <w:numPr>
          <w:ilvl w:val="0"/>
          <w:numId w:val="1"/>
        </w:numPr>
      </w:pPr>
      <w:r>
        <w:t xml:space="preserve">It is unlawful for any person to obtain water from the City of Spencer fire hydrant without a valid contract and meter supplied by the City of Spencer Utility Customer Services. Any person obtaining water or using a flush meter not contracted by the City of Spencer will be prosecuted for water theft. </w:t>
      </w:r>
    </w:p>
    <w:p>
      <w:pPr>
        <w:pStyle w:val="13"/>
        <w:numPr>
          <w:ilvl w:val="0"/>
          <w:numId w:val="1"/>
        </w:numPr>
      </w:pPr>
      <w:r>
        <w:t>I have read and understand all the information above. I understand and agree to pay established rates set forth by the City of Spencer OK ordinances and agree to the regulations governing said services as established by the Flush Meter policy.</w:t>
      </w:r>
    </w:p>
    <w:p>
      <w:pPr>
        <w:pStyle w:val="13"/>
      </w:pPr>
    </w:p>
    <w:p>
      <w:pPr>
        <w:pStyle w:val="13"/>
      </w:pPr>
    </w:p>
    <w:p>
      <w:pPr>
        <w:pStyle w:val="13"/>
      </w:pPr>
    </w:p>
    <w:p>
      <w:pPr>
        <w:pStyle w:val="13"/>
      </w:pPr>
    </w:p>
    <w:p>
      <w:pPr>
        <w:pStyle w:val="13"/>
      </w:pPr>
    </w:p>
    <w:p>
      <w:pPr>
        <w:pStyle w:val="13"/>
      </w:pPr>
    </w:p>
    <w:p>
      <w:pPr>
        <w:pStyle w:val="13"/>
      </w:pPr>
    </w:p>
    <w:p>
      <w:pPr>
        <w:spacing w:after="0" w:line="480" w:lineRule="auto"/>
      </w:pPr>
    </w:p>
    <w:tbl>
      <w:tblPr>
        <w:tblStyle w:val="10"/>
        <w:tblpPr w:leftFromText="180" w:rightFromText="180" w:vertAnchor="page" w:horzAnchor="page" w:tblpX="319" w:tblpY="2194"/>
        <w:tblW w:w="11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5"/>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795" w:type="dxa"/>
          </w:tcPr>
          <w:p>
            <w:pPr>
              <w:spacing w:after="0" w:line="480" w:lineRule="auto"/>
            </w:pPr>
            <w:r>
              <w:t>CUSTOMER NAME:</w:t>
            </w:r>
          </w:p>
        </w:tc>
        <w:tc>
          <w:tcPr>
            <w:tcW w:w="5795"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795" w:type="dxa"/>
          </w:tcPr>
          <w:p>
            <w:pPr>
              <w:spacing w:after="0" w:line="480" w:lineRule="auto"/>
            </w:pPr>
            <w:r>
              <w:t>NAME OF BUSINESS:</w:t>
            </w:r>
          </w:p>
        </w:tc>
        <w:tc>
          <w:tcPr>
            <w:tcW w:w="5795"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795" w:type="dxa"/>
          </w:tcPr>
          <w:p>
            <w:pPr>
              <w:spacing w:after="0" w:line="480" w:lineRule="auto"/>
            </w:pPr>
            <w:r>
              <w:t>TAX ID # OR SOCIAL SECURITY #:</w:t>
            </w:r>
          </w:p>
        </w:tc>
        <w:tc>
          <w:tcPr>
            <w:tcW w:w="5795"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795" w:type="dxa"/>
          </w:tcPr>
          <w:p>
            <w:pPr>
              <w:spacing w:after="0" w:line="480" w:lineRule="auto"/>
            </w:pPr>
            <w:r>
              <w:t>METER LOCATION ADDRESS:</w:t>
            </w:r>
          </w:p>
        </w:tc>
        <w:tc>
          <w:tcPr>
            <w:tcW w:w="5795"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5795" w:type="dxa"/>
          </w:tcPr>
          <w:p>
            <w:pPr>
              <w:spacing w:after="0" w:line="480" w:lineRule="auto"/>
            </w:pPr>
            <w:r>
              <w:t>BILLING ADDRESS (IF DIFFERENT):</w:t>
            </w:r>
          </w:p>
        </w:tc>
        <w:tc>
          <w:tcPr>
            <w:tcW w:w="5795"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795" w:type="dxa"/>
          </w:tcPr>
          <w:p>
            <w:pPr>
              <w:spacing w:after="0" w:line="480" w:lineRule="auto"/>
            </w:pPr>
            <w:r>
              <w:t>BILLING ADDRESS CITY, STATE, AND ZIP CODE:</w:t>
            </w:r>
          </w:p>
        </w:tc>
        <w:tc>
          <w:tcPr>
            <w:tcW w:w="5795"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5795" w:type="dxa"/>
          </w:tcPr>
          <w:p>
            <w:pPr>
              <w:spacing w:after="0" w:line="480" w:lineRule="auto"/>
            </w:pPr>
            <w:r>
              <w:t>PHONE NUMBER:</w:t>
            </w:r>
          </w:p>
        </w:tc>
        <w:tc>
          <w:tcPr>
            <w:tcW w:w="5795" w:type="dxa"/>
          </w:tcPr>
          <w:p>
            <w:pPr>
              <w:spacing w:after="0"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795" w:type="dxa"/>
          </w:tcPr>
          <w:p>
            <w:pPr>
              <w:spacing w:after="0" w:line="480" w:lineRule="auto"/>
            </w:pPr>
            <w:r>
              <w:t>CUSTOMER SIGNATURE:</w:t>
            </w:r>
          </w:p>
        </w:tc>
        <w:tc>
          <w:tcPr>
            <w:tcW w:w="5795" w:type="dxa"/>
          </w:tcPr>
          <w:p>
            <w:pPr>
              <w:spacing w:after="0" w:line="480" w:lineRule="auto"/>
            </w:pPr>
          </w:p>
        </w:tc>
      </w:tr>
    </w:tbl>
    <w:p>
      <w:pPr>
        <w:spacing w:line="480" w:lineRule="auto"/>
        <w:jc w:val="center"/>
      </w:pPr>
    </w:p>
    <w:p>
      <w:pPr>
        <w:spacing w:line="480" w:lineRule="auto"/>
        <w:jc w:val="center"/>
      </w:pPr>
    </w:p>
    <w:p>
      <w:pPr>
        <w:spacing w:line="480" w:lineRule="auto"/>
        <w:jc w:val="center"/>
      </w:pPr>
    </w:p>
    <w:p>
      <w:pPr>
        <w:spacing w:line="480" w:lineRule="auto"/>
        <w:jc w:val="center"/>
      </w:pPr>
    </w:p>
    <w:p>
      <w:pPr>
        <w:spacing w:line="480" w:lineRule="auto"/>
        <w:jc w:val="center"/>
      </w:pPr>
    </w:p>
    <w:p>
      <w:pPr>
        <w:spacing w:line="480" w:lineRule="auto"/>
        <w:jc w:val="center"/>
      </w:pPr>
    </w:p>
    <w:tbl>
      <w:tblPr>
        <w:tblStyle w:val="10"/>
        <w:tblpPr w:leftFromText="180" w:rightFromText="180" w:vertAnchor="text" w:horzAnchor="margin" w:tblpXSpec="center" w:tblpY="456"/>
        <w:tblW w:w="10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5"/>
        <w:gridCol w:w="5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0" w:type="dxa"/>
            <w:gridSpan w:val="2"/>
          </w:tcPr>
          <w:p>
            <w:pPr>
              <w:spacing w:after="0" w:line="480" w:lineRule="auto"/>
            </w:pPr>
            <w:r>
              <w:t>METER 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5" w:type="dxa"/>
          </w:tcPr>
          <w:p>
            <w:pPr>
              <w:spacing w:after="0" w:line="480" w:lineRule="auto"/>
            </w:pPr>
            <w:r>
              <w:t>BEGINNING READING:</w:t>
            </w:r>
          </w:p>
        </w:tc>
        <w:tc>
          <w:tcPr>
            <w:tcW w:w="5585" w:type="dxa"/>
          </w:tcPr>
          <w:p>
            <w:pPr>
              <w:spacing w:after="0" w:line="480" w:lineRule="auto"/>
            </w:pPr>
            <w:r>
              <w:t>ENDING READING:</w:t>
            </w:r>
          </w:p>
        </w:tc>
      </w:tr>
    </w:tbl>
    <w:p>
      <w:pPr>
        <w:spacing w:line="480" w:lineRule="auto"/>
        <w:jc w:val="center"/>
      </w:pPr>
      <w:r>
        <w:t>FOR OFFICE USE ONLY:</w:t>
      </w:r>
    </w:p>
    <w:p>
      <w:pPr>
        <w:spacing w:after="0" w:line="480" w:lineRule="auto"/>
      </w:pPr>
    </w:p>
    <w:p>
      <w:pPr>
        <w:spacing w:line="480" w:lineRule="auto"/>
        <w:jc w:val="center"/>
      </w:pPr>
    </w:p>
    <w:sectPr>
      <w:headerReference r:id="rId5" w:type="default"/>
      <w:footerReference r:id="rId6" w:type="default"/>
      <w:pgSz w:w="12240" w:h="15840"/>
      <w:pgMar w:top="1440" w:right="1440" w:bottom="245"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10605"/>
        <w:tab w:val="clear" w:pos="4680"/>
        <w:tab w:val="clear" w:pos="9360"/>
      </w:tabs>
      <w:jc w:val="right"/>
    </w:pPr>
    <w:r>
      <w:t>CUSTOMER INITIALS_________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b/>
        <w:bCs/>
        <w:sz w:val="28"/>
        <w:szCs w:val="28"/>
      </w:rPr>
    </w:pPr>
    <w:r>
      <w:rPr>
        <w:b/>
        <w:bCs/>
        <w:sz w:val="28"/>
        <w:szCs w:val="28"/>
      </w:rPr>
      <w:drawing>
        <wp:anchor distT="0" distB="0" distL="114300" distR="114300" simplePos="0" relativeHeight="251659264" behindDoc="0" locked="0" layoutInCell="1" allowOverlap="1">
          <wp:simplePos x="0" y="0"/>
          <wp:positionH relativeFrom="column">
            <wp:posOffset>-781050</wp:posOffset>
          </wp:positionH>
          <wp:positionV relativeFrom="paragraph">
            <wp:posOffset>-409575</wp:posOffset>
          </wp:positionV>
          <wp:extent cx="1122045" cy="1036320"/>
          <wp:effectExtent l="0" t="0" r="1905" b="11430"/>
          <wp:wrapSquare wrapText="right"/>
          <wp:docPr id="1" name="Picture 1" descr="spe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penc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22045" cy="1036320"/>
                  </a:xfrm>
                  <a:prstGeom prst="rect">
                    <a:avLst/>
                  </a:prstGeom>
                  <a:noFill/>
                  <a:ln>
                    <a:noFill/>
                  </a:ln>
                </pic:spPr>
              </pic:pic>
            </a:graphicData>
          </a:graphic>
        </wp:anchor>
      </w:drawing>
    </w:r>
    <w:r>
      <w:rPr>
        <w:b/>
        <w:bCs/>
        <w:sz w:val="28"/>
        <w:szCs w:val="28"/>
      </w:rPr>
      <w:t>CITY OF SPENCER</w:t>
    </w:r>
  </w:p>
  <w:p>
    <w:pPr>
      <w:pStyle w:val="7"/>
      <w:jc w:val="right"/>
      <w:rPr>
        <w:b/>
        <w:bCs/>
        <w:sz w:val="28"/>
        <w:szCs w:val="28"/>
      </w:rPr>
    </w:pPr>
    <w:r>
      <w:rPr>
        <w:b/>
        <w:bCs/>
        <w:sz w:val="28"/>
        <w:szCs w:val="28"/>
      </w:rPr>
      <w:t>HYDRANT FLUSH METER APPLICATION</w:t>
    </w:r>
  </w:p>
  <w:p>
    <w:pPr>
      <w:pStyle w:val="7"/>
      <w:jc w:val="center"/>
      <w:rPr>
        <w:sz w:val="28"/>
        <w:szCs w:val="28"/>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E87794"/>
    <w:multiLevelType w:val="multilevel"/>
    <w:tmpl w:val="58E8779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E7"/>
    <w:rsid w:val="000030B2"/>
    <w:rsid w:val="000033EE"/>
    <w:rsid w:val="000043B5"/>
    <w:rsid w:val="00021E11"/>
    <w:rsid w:val="000253B7"/>
    <w:rsid w:val="00026855"/>
    <w:rsid w:val="00027841"/>
    <w:rsid w:val="000347F7"/>
    <w:rsid w:val="000423E5"/>
    <w:rsid w:val="000749FE"/>
    <w:rsid w:val="000778DC"/>
    <w:rsid w:val="00080694"/>
    <w:rsid w:val="00080F97"/>
    <w:rsid w:val="00082E51"/>
    <w:rsid w:val="000C581C"/>
    <w:rsid w:val="000E62AD"/>
    <w:rsid w:val="000F086D"/>
    <w:rsid w:val="000F107A"/>
    <w:rsid w:val="00132313"/>
    <w:rsid w:val="00135C9B"/>
    <w:rsid w:val="00145855"/>
    <w:rsid w:val="0014601F"/>
    <w:rsid w:val="00155ECC"/>
    <w:rsid w:val="00157F63"/>
    <w:rsid w:val="0016418B"/>
    <w:rsid w:val="0017613A"/>
    <w:rsid w:val="00176237"/>
    <w:rsid w:val="00176595"/>
    <w:rsid w:val="00190AED"/>
    <w:rsid w:val="00191B2A"/>
    <w:rsid w:val="001C24F9"/>
    <w:rsid w:val="001D7CB3"/>
    <w:rsid w:val="001F48A1"/>
    <w:rsid w:val="0020512D"/>
    <w:rsid w:val="0024651D"/>
    <w:rsid w:val="002514B7"/>
    <w:rsid w:val="00261AD1"/>
    <w:rsid w:val="002621ED"/>
    <w:rsid w:val="002648E1"/>
    <w:rsid w:val="00281087"/>
    <w:rsid w:val="002905BF"/>
    <w:rsid w:val="00292117"/>
    <w:rsid w:val="002A50E1"/>
    <w:rsid w:val="002B3474"/>
    <w:rsid w:val="002C0B8F"/>
    <w:rsid w:val="002D339D"/>
    <w:rsid w:val="002F2C16"/>
    <w:rsid w:val="002F7D80"/>
    <w:rsid w:val="00303E7A"/>
    <w:rsid w:val="00312D3B"/>
    <w:rsid w:val="0031573F"/>
    <w:rsid w:val="00322546"/>
    <w:rsid w:val="0032277D"/>
    <w:rsid w:val="00323C4A"/>
    <w:rsid w:val="0034238D"/>
    <w:rsid w:val="00351814"/>
    <w:rsid w:val="0035277E"/>
    <w:rsid w:val="00365B69"/>
    <w:rsid w:val="003779CF"/>
    <w:rsid w:val="00380A52"/>
    <w:rsid w:val="00394C0D"/>
    <w:rsid w:val="003B754B"/>
    <w:rsid w:val="003C2FF1"/>
    <w:rsid w:val="003C5503"/>
    <w:rsid w:val="003D3879"/>
    <w:rsid w:val="003D7AD0"/>
    <w:rsid w:val="004003A1"/>
    <w:rsid w:val="00404AC7"/>
    <w:rsid w:val="004117D4"/>
    <w:rsid w:val="00413661"/>
    <w:rsid w:val="004150FC"/>
    <w:rsid w:val="0042094B"/>
    <w:rsid w:val="00432ECB"/>
    <w:rsid w:val="00453832"/>
    <w:rsid w:val="00460844"/>
    <w:rsid w:val="0048149E"/>
    <w:rsid w:val="00485E2C"/>
    <w:rsid w:val="00496F6F"/>
    <w:rsid w:val="004C24DE"/>
    <w:rsid w:val="004E5857"/>
    <w:rsid w:val="00503FAE"/>
    <w:rsid w:val="00513C44"/>
    <w:rsid w:val="00522CCD"/>
    <w:rsid w:val="005310E5"/>
    <w:rsid w:val="00535A92"/>
    <w:rsid w:val="00540143"/>
    <w:rsid w:val="0054634F"/>
    <w:rsid w:val="00547115"/>
    <w:rsid w:val="00547F8D"/>
    <w:rsid w:val="005B0265"/>
    <w:rsid w:val="005E20A4"/>
    <w:rsid w:val="005E33D9"/>
    <w:rsid w:val="005F0DBE"/>
    <w:rsid w:val="005F3D3F"/>
    <w:rsid w:val="005F4AEC"/>
    <w:rsid w:val="00610F56"/>
    <w:rsid w:val="006601C1"/>
    <w:rsid w:val="0066433A"/>
    <w:rsid w:val="006715CC"/>
    <w:rsid w:val="00693BF4"/>
    <w:rsid w:val="006D2C37"/>
    <w:rsid w:val="006D4F0E"/>
    <w:rsid w:val="006D7660"/>
    <w:rsid w:val="00723B5F"/>
    <w:rsid w:val="00735398"/>
    <w:rsid w:val="00737D45"/>
    <w:rsid w:val="00740208"/>
    <w:rsid w:val="00744447"/>
    <w:rsid w:val="00750037"/>
    <w:rsid w:val="007733D1"/>
    <w:rsid w:val="007977FB"/>
    <w:rsid w:val="007B66E3"/>
    <w:rsid w:val="007D1156"/>
    <w:rsid w:val="007E3468"/>
    <w:rsid w:val="007E3946"/>
    <w:rsid w:val="00805633"/>
    <w:rsid w:val="00811240"/>
    <w:rsid w:val="0082406D"/>
    <w:rsid w:val="00830FC1"/>
    <w:rsid w:val="00845173"/>
    <w:rsid w:val="00856518"/>
    <w:rsid w:val="00870066"/>
    <w:rsid w:val="008734B0"/>
    <w:rsid w:val="00876B30"/>
    <w:rsid w:val="008823A7"/>
    <w:rsid w:val="00886E8F"/>
    <w:rsid w:val="008939A6"/>
    <w:rsid w:val="008A0A9F"/>
    <w:rsid w:val="008A5B0E"/>
    <w:rsid w:val="008B289B"/>
    <w:rsid w:val="008D67DC"/>
    <w:rsid w:val="008E513D"/>
    <w:rsid w:val="008F028E"/>
    <w:rsid w:val="008F27AB"/>
    <w:rsid w:val="008F5775"/>
    <w:rsid w:val="008F61EC"/>
    <w:rsid w:val="00940632"/>
    <w:rsid w:val="00943735"/>
    <w:rsid w:val="00987945"/>
    <w:rsid w:val="0099020D"/>
    <w:rsid w:val="009C323E"/>
    <w:rsid w:val="009F1358"/>
    <w:rsid w:val="00A2714C"/>
    <w:rsid w:val="00A57365"/>
    <w:rsid w:val="00A65747"/>
    <w:rsid w:val="00A823D5"/>
    <w:rsid w:val="00A87BFF"/>
    <w:rsid w:val="00AD3992"/>
    <w:rsid w:val="00B24806"/>
    <w:rsid w:val="00B42A5A"/>
    <w:rsid w:val="00B46689"/>
    <w:rsid w:val="00B52E2C"/>
    <w:rsid w:val="00B555ED"/>
    <w:rsid w:val="00B558F2"/>
    <w:rsid w:val="00B64943"/>
    <w:rsid w:val="00B64CED"/>
    <w:rsid w:val="00B74503"/>
    <w:rsid w:val="00B87FDA"/>
    <w:rsid w:val="00B90B19"/>
    <w:rsid w:val="00BA26E1"/>
    <w:rsid w:val="00BA7E2C"/>
    <w:rsid w:val="00BC22CF"/>
    <w:rsid w:val="00BC47E6"/>
    <w:rsid w:val="00BF0EF2"/>
    <w:rsid w:val="00C03AB0"/>
    <w:rsid w:val="00C116F2"/>
    <w:rsid w:val="00C172B6"/>
    <w:rsid w:val="00C41DF2"/>
    <w:rsid w:val="00C47864"/>
    <w:rsid w:val="00C5765E"/>
    <w:rsid w:val="00C60123"/>
    <w:rsid w:val="00C90886"/>
    <w:rsid w:val="00C97D76"/>
    <w:rsid w:val="00CD6FC8"/>
    <w:rsid w:val="00CE1CE7"/>
    <w:rsid w:val="00CE3FA8"/>
    <w:rsid w:val="00CF1B37"/>
    <w:rsid w:val="00CF3961"/>
    <w:rsid w:val="00CF506F"/>
    <w:rsid w:val="00D01959"/>
    <w:rsid w:val="00D0463D"/>
    <w:rsid w:val="00D15C02"/>
    <w:rsid w:val="00D17D35"/>
    <w:rsid w:val="00D22107"/>
    <w:rsid w:val="00D2401C"/>
    <w:rsid w:val="00D35BC7"/>
    <w:rsid w:val="00D47017"/>
    <w:rsid w:val="00D53D8B"/>
    <w:rsid w:val="00D6158C"/>
    <w:rsid w:val="00D634E0"/>
    <w:rsid w:val="00D75FAD"/>
    <w:rsid w:val="00D76697"/>
    <w:rsid w:val="00D80C6F"/>
    <w:rsid w:val="00D81ACB"/>
    <w:rsid w:val="00D869DA"/>
    <w:rsid w:val="00DA705B"/>
    <w:rsid w:val="00DB4F86"/>
    <w:rsid w:val="00DF37B4"/>
    <w:rsid w:val="00DF4D32"/>
    <w:rsid w:val="00DF593C"/>
    <w:rsid w:val="00DF6001"/>
    <w:rsid w:val="00E049AE"/>
    <w:rsid w:val="00E230F4"/>
    <w:rsid w:val="00E31890"/>
    <w:rsid w:val="00E33B8B"/>
    <w:rsid w:val="00E67167"/>
    <w:rsid w:val="00EC4A18"/>
    <w:rsid w:val="00EC56E7"/>
    <w:rsid w:val="00ED6343"/>
    <w:rsid w:val="00F0068A"/>
    <w:rsid w:val="00F17D7B"/>
    <w:rsid w:val="00F2071A"/>
    <w:rsid w:val="00F27839"/>
    <w:rsid w:val="00F52952"/>
    <w:rsid w:val="00F5382D"/>
    <w:rsid w:val="00F54BF4"/>
    <w:rsid w:val="00F67D3D"/>
    <w:rsid w:val="00F67D5B"/>
    <w:rsid w:val="00F759C8"/>
    <w:rsid w:val="00F76EE7"/>
    <w:rsid w:val="00F80F84"/>
    <w:rsid w:val="00FC29A3"/>
    <w:rsid w:val="00FE2B23"/>
    <w:rsid w:val="00FE7B30"/>
    <w:rsid w:val="10CA3B32"/>
    <w:rsid w:val="6CDB4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paragraph" w:styleId="2">
    <w:name w:val="heading 1"/>
    <w:next w:val="1"/>
    <w:link w:val="14"/>
    <w:qFormat/>
    <w:uiPriority w:val="9"/>
    <w:pPr>
      <w:keepNext/>
      <w:keepLines/>
      <w:spacing w:after="0" w:line="259" w:lineRule="auto"/>
      <w:ind w:left="10" w:hanging="10"/>
      <w:outlineLvl w:val="0"/>
    </w:pPr>
    <w:rPr>
      <w:rFonts w:ascii="Times New Roman" w:hAnsi="Times New Roman" w:eastAsia="Times New Roman" w:cs="Times New Roman"/>
      <w:b/>
      <w:color w:val="000000"/>
      <w:kern w:val="2"/>
      <w:sz w:val="22"/>
      <w:szCs w:val="22"/>
      <w:lang w:val="en-US" w:eastAsia="en-US" w:bidi="ar-SA"/>
      <w14:ligatures w14:val="standardContextual"/>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footer"/>
    <w:basedOn w:val="1"/>
    <w:link w:val="12"/>
    <w:unhideWhenUsed/>
    <w:uiPriority w:val="99"/>
    <w:pPr>
      <w:tabs>
        <w:tab w:val="center" w:pos="4680"/>
        <w:tab w:val="right" w:pos="9360"/>
      </w:tabs>
      <w:spacing w:after="0" w:line="240" w:lineRule="auto"/>
    </w:pPr>
  </w:style>
  <w:style w:type="paragraph" w:styleId="7">
    <w:name w:val="header"/>
    <w:basedOn w:val="1"/>
    <w:link w:val="11"/>
    <w:unhideWhenUsed/>
    <w:uiPriority w:val="99"/>
    <w:pPr>
      <w:tabs>
        <w:tab w:val="center" w:pos="4680"/>
        <w:tab w:val="right" w:pos="9360"/>
      </w:tabs>
      <w:spacing w:after="0" w:line="240" w:lineRule="auto"/>
    </w:p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9">
    <w:name w:val="Strong"/>
    <w:basedOn w:val="3"/>
    <w:qFormat/>
    <w:uiPriority w:val="22"/>
    <w:rPr>
      <w:b/>
      <w:bCs/>
    </w:rPr>
  </w:style>
  <w:style w:type="table" w:styleId="10">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eader Char"/>
    <w:basedOn w:val="3"/>
    <w:link w:val="7"/>
    <w:uiPriority w:val="99"/>
  </w:style>
  <w:style w:type="character" w:customStyle="1" w:styleId="12">
    <w:name w:val="Footer Char"/>
    <w:basedOn w:val="3"/>
    <w:link w:val="6"/>
    <w:uiPriority w:val="99"/>
  </w:style>
  <w:style w:type="paragraph" w:styleId="13">
    <w:name w:val="List Paragraph"/>
    <w:basedOn w:val="1"/>
    <w:qFormat/>
    <w:uiPriority w:val="34"/>
    <w:pPr>
      <w:ind w:left="720"/>
      <w:contextualSpacing/>
    </w:pPr>
  </w:style>
  <w:style w:type="character" w:customStyle="1" w:styleId="14">
    <w:name w:val="Heading 1 Char"/>
    <w:basedOn w:val="3"/>
    <w:link w:val="2"/>
    <w:uiPriority w:val="9"/>
    <w:rPr>
      <w:rFonts w:ascii="Times New Roman" w:hAnsi="Times New Roman" w:eastAsia="Times New Roman" w:cs="Times New Roman"/>
      <w:b/>
      <w:color w:val="000000"/>
    </w:rPr>
  </w:style>
  <w:style w:type="table" w:customStyle="1" w:styleId="15">
    <w:name w:val="TableGrid"/>
    <w:uiPriority w:val="0"/>
    <w:pPr>
      <w:spacing w:after="0" w:line="240" w:lineRule="auto"/>
    </w:pPr>
    <w:rPr>
      <w:rFonts w:eastAsiaTheme="minorEastAsia"/>
    </w:rPr>
    <w:tblPr>
      <w:tblCellMar>
        <w:top w:w="0" w:type="dxa"/>
        <w:left w:w="0" w:type="dxa"/>
        <w:bottom w:w="0" w:type="dxa"/>
        <w:right w:w="0" w:type="dxa"/>
      </w:tblCellMar>
    </w:tblPr>
  </w:style>
  <w:style w:type="character" w:customStyle="1" w:styleId="16">
    <w:name w:val="sr-only"/>
    <w:basedOn w:val="3"/>
    <w:uiPriority w:val="0"/>
  </w:style>
  <w:style w:type="paragraph" w:customStyle="1" w:styleId="17">
    <w:name w:val="p0"/>
    <w:basedOn w:val="1"/>
    <w:uiPriority w:val="0"/>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paragraph" w:customStyle="1" w:styleId="18">
    <w:name w:val="historynote0"/>
    <w:basedOn w:val="1"/>
    <w:uiPriority w:val="0"/>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CAEA-1900-414A-89F0-6FAC53F10704}">
  <ds:schemaRefs/>
</ds:datastoreItem>
</file>

<file path=docProps/app.xml><?xml version="1.0" encoding="utf-8"?>
<Properties xmlns="http://schemas.openxmlformats.org/officeDocument/2006/extended-properties" xmlns:vt="http://schemas.openxmlformats.org/officeDocument/2006/docPropsVTypes">
  <Template>Normal</Template>
  <Pages>3</Pages>
  <Words>862</Words>
  <Characters>4920</Characters>
  <Lines>41</Lines>
  <Paragraphs>11</Paragraphs>
  <TotalTime>5</TotalTime>
  <ScaleCrop>false</ScaleCrop>
  <LinksUpToDate>false</LinksUpToDate>
  <CharactersWithSpaces>5771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2023-05-05T14:46:00Z</dcterms:created>
  <dc:creator>Kimberly Luebeck</dc:creator>
  <cp:lastModifiedBy>Kellie Peacock</cp:lastModifiedBy>
  <cp:lastPrinted>2023-05-10T17:33:00Z</cp:lastPrinted>
  <dcterms:modified xsi:type="dcterms:W3CDTF">2023-06-02T02:31:22Z</dcterms:modified>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B1C5534284794E1F87CE289D694F7A0F</vt:lpwstr>
  </property>
</Properties>
</file>